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color="000000" w:space="1" w:sz="4" w:val="single"/>
          <w:bottom w:color="000000" w:space="1" w:sz="4" w:val="single"/>
        </w:pBdr>
        <w:spacing w:line="360" w:lineRule="auto"/>
        <w:jc w:val="center"/>
        <w:rPr>
          <w:rFonts w:ascii="Times New Roman" w:cs="Times New Roman" w:eastAsia="Times New Roman" w:hAnsi="Times New Roman"/>
          <w:b w:val="1"/>
          <w:bCs w:val="1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0"/>
          <w:szCs w:val="20"/>
          <w:rtl w:val="0"/>
        </w:rPr>
        <w:t xml:space="preserve">INFORMACJA O OGÓLNEJ LICZBIE AKCJI</w:t>
      </w:r>
    </w:p>
    <w:p w:rsidR="00000000" w:rsidDel="00000000" w:rsidP="00000000" w:rsidRDefault="00000000" w:rsidRPr="00000000" w14:paraId="00000002">
      <w:pPr>
        <w:pBdr>
          <w:top w:color="000000" w:space="1" w:sz="4" w:val="single"/>
          <w:bottom w:color="000000" w:space="1" w:sz="4" w:val="single"/>
        </w:pBdr>
        <w:spacing w:line="360" w:lineRule="auto"/>
        <w:jc w:val="center"/>
        <w:rPr>
          <w:rFonts w:ascii="Times New Roman" w:cs="Times New Roman" w:eastAsia="Times New Roman" w:hAnsi="Times New Roman"/>
          <w:sz w:val="20"/>
          <w:szCs w:val="20"/>
        </w:rPr>
      </w:pPr>
      <w:bookmarkStart w:colFirst="0" w:colLast="0" w:name="_heading=h.gjdgxs" w:id="0"/>
      <w:bookmarkEnd w:id="0"/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SPÓŁKI POD FIRMĄ SFD S.A. Z SIEDZIBĄ W OPOLU, UL. GŁOGOWSKA 41, 45-315 OPOLE, </w:t>
        <w:br w:type="textWrapping"/>
        <w:t xml:space="preserve">WPISANEJ DO REJESTRU PRZEDSIĘBIORCÓW KRS PROWADZONEGO PRZEZ SĄD REJONOWY W OPOLU, VIII WYDZIAŁ GOSPODARCZY KRAJOWEGO REJESTRU SĄDOWEGO POD NUMEREM KRS 0000373427 (ZWANA DALEJ „SPÓŁKĄ”)</w:t>
      </w:r>
    </w:p>
    <w:p w:rsidR="00000000" w:rsidDel="00000000" w:rsidP="00000000" w:rsidRDefault="00000000" w:rsidRPr="00000000" w14:paraId="00000003">
      <w:pPr>
        <w:pBdr>
          <w:top w:color="000000" w:space="1" w:sz="4" w:val="single"/>
          <w:bottom w:color="000000" w:space="1" w:sz="4" w:val="single"/>
        </w:pBdr>
        <w:spacing w:line="360" w:lineRule="auto"/>
        <w:jc w:val="center"/>
        <w:rPr>
          <w:rFonts w:ascii="Times New Roman" w:cs="Times New Roman" w:eastAsia="Times New Roman" w:hAnsi="Times New Roman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36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360" w:lineRule="auto"/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Informacja o ogólnej liczbie akcji w kapitale zakładowym spółki pod firmą SFD S.A. z siedzibą w Opolu i liczbie głosów z tych akcji na dzień ogłoszenia o zwołaniu Zwyczajnego Walnego Zgromadzenia Spółki zwołanego na dzień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0"/>
          <w:szCs w:val="20"/>
          <w:rtl w:val="0"/>
        </w:rPr>
        <w:t xml:space="preserve">29 czerwca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0"/>
          <w:szCs w:val="20"/>
          <w:rtl w:val="0"/>
        </w:rPr>
        <w:t xml:space="preserve">2026 r.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 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0"/>
          <w:szCs w:val="20"/>
          <w:rtl w:val="0"/>
        </w:rPr>
        <w:t xml:space="preserve">o godz. 12:00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w siedzibie SFD S.A. w Opolu, ul. Głogowska 41.</w:t>
      </w:r>
    </w:p>
    <w:p w:rsidR="00000000" w:rsidDel="00000000" w:rsidP="00000000" w:rsidRDefault="00000000" w:rsidRPr="00000000" w14:paraId="00000006">
      <w:pPr>
        <w:spacing w:line="360" w:lineRule="auto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stan na dzień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0"/>
          <w:szCs w:val="20"/>
          <w:rtl w:val="0"/>
        </w:rPr>
        <w:t xml:space="preserve">1 czerwca 2026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r.: </w:t>
      </w:r>
    </w:p>
    <w:p w:rsidR="00000000" w:rsidDel="00000000" w:rsidP="00000000" w:rsidRDefault="00000000" w:rsidRPr="00000000" w14:paraId="00000007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284" w:hanging="284"/>
        <w:rPr>
          <w:rFonts w:ascii="Times New Roman" w:cs="Times New Roman" w:eastAsia="Times New Roman" w:hAnsi="Times New Roman"/>
          <w:b w:val="1"/>
          <w:bCs w:val="1"/>
          <w:color w:val="000000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0"/>
          <w:szCs w:val="20"/>
          <w:rtl w:val="0"/>
        </w:rPr>
        <w:t xml:space="preserve">łączna liczba wyemitowanych akcji Spółki wynosi 44.044.910, tym: 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="240" w:lineRule="auto"/>
        <w:jc w:val="both"/>
        <w:rPr>
          <w:rFonts w:ascii="Times New Roman" w:cs="Times New Roman" w:eastAsia="Times New Roman" w:hAnsi="Times New Roman"/>
          <w:color w:val="000000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0"/>
          <w:szCs w:val="20"/>
          <w:rtl w:val="0"/>
        </w:rPr>
        <w:t xml:space="preserve">1)  17.500.000 akcji imiennych uprzywilejowanych serii A, 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="240" w:lineRule="auto"/>
        <w:jc w:val="both"/>
        <w:rPr>
          <w:rFonts w:ascii="Times New Roman" w:cs="Times New Roman" w:eastAsia="Times New Roman" w:hAnsi="Times New Roman"/>
          <w:color w:val="000000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0"/>
          <w:szCs w:val="20"/>
          <w:rtl w:val="0"/>
        </w:rPr>
        <w:t xml:space="preserve">2)  17.500.000 akcji zwykłych na okaziciela serii B, </w:t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="240" w:lineRule="auto"/>
        <w:jc w:val="both"/>
        <w:rPr>
          <w:rFonts w:ascii="Times New Roman" w:cs="Times New Roman" w:eastAsia="Times New Roman" w:hAnsi="Times New Roman"/>
          <w:color w:val="000000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0"/>
          <w:szCs w:val="20"/>
          <w:rtl w:val="0"/>
        </w:rPr>
        <w:t xml:space="preserve">3)  2.000.000 akcji zwykłych na okaziciela serii C, </w:t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="240" w:lineRule="auto"/>
        <w:jc w:val="both"/>
        <w:rPr>
          <w:rFonts w:ascii="Times New Roman" w:cs="Times New Roman" w:eastAsia="Times New Roman" w:hAnsi="Times New Roman"/>
          <w:color w:val="000000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0"/>
          <w:szCs w:val="20"/>
          <w:rtl w:val="0"/>
        </w:rPr>
        <w:t xml:space="preserve">4)  4.700.000 akcji zwykłych na okaziciela serii D, 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="240" w:lineRule="auto"/>
        <w:jc w:val="both"/>
        <w:rPr>
          <w:rFonts w:ascii="Times New Roman" w:cs="Times New Roman" w:eastAsia="Times New Roman" w:hAnsi="Times New Roman"/>
          <w:color w:val="000000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0"/>
          <w:szCs w:val="20"/>
          <w:rtl w:val="0"/>
        </w:rPr>
        <w:t xml:space="preserve">5)  490.910 akcji zwykłych na okaziciela serii E, 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="240" w:lineRule="auto"/>
        <w:jc w:val="both"/>
        <w:rPr>
          <w:rFonts w:ascii="Times New Roman" w:cs="Times New Roman" w:eastAsia="Times New Roman" w:hAnsi="Times New Roman"/>
          <w:color w:val="000000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0"/>
          <w:szCs w:val="20"/>
          <w:rtl w:val="0"/>
        </w:rPr>
        <w:t xml:space="preserve">6)  1.854.000 akcji zwykłych na 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okaziciela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0"/>
          <w:szCs w:val="20"/>
          <w:rtl w:val="0"/>
        </w:rPr>
        <w:t xml:space="preserve"> serii G.</w:t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="240" w:lineRule="auto"/>
        <w:jc w:val="both"/>
        <w:rPr>
          <w:rFonts w:ascii="Times New Roman" w:cs="Times New Roman" w:eastAsia="Times New Roman" w:hAnsi="Times New Roman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284" w:hanging="284"/>
        <w:rPr>
          <w:rFonts w:ascii="Times New Roman" w:cs="Times New Roman" w:eastAsia="Times New Roman" w:hAnsi="Times New Roman"/>
          <w:b w:val="1"/>
          <w:bCs w:val="1"/>
          <w:color w:val="000000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0"/>
          <w:szCs w:val="20"/>
          <w:rtl w:val="0"/>
        </w:rPr>
        <w:t xml:space="preserve">Łączna liczba głosów z akcji wynosi 61.544.910, w tym:</w:t>
      </w:r>
    </w:p>
    <w:p w:rsidR="00000000" w:rsidDel="00000000" w:rsidP="00000000" w:rsidRDefault="00000000" w:rsidRPr="00000000" w14:paraId="00000010">
      <w:pPr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567"/>
        </w:tabs>
        <w:spacing w:after="120" w:line="240" w:lineRule="auto"/>
        <w:ind w:left="0" w:firstLine="0"/>
        <w:jc w:val="both"/>
        <w:rPr>
          <w:rFonts w:ascii="Times New Roman" w:cs="Times New Roman" w:eastAsia="Times New Roman" w:hAnsi="Times New Roman"/>
          <w:color w:val="000000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0"/>
          <w:szCs w:val="20"/>
          <w:rtl w:val="0"/>
        </w:rPr>
        <w:t xml:space="preserve">z akcji imiennych uprzywilejowanych przypada 35.000.000 głosów</w:t>
      </w:r>
    </w:p>
    <w:p w:rsidR="00000000" w:rsidDel="00000000" w:rsidP="00000000" w:rsidRDefault="00000000" w:rsidRPr="00000000" w14:paraId="00000011">
      <w:pPr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leader="none" w:pos="567"/>
        </w:tabs>
        <w:spacing w:after="120" w:line="240" w:lineRule="auto"/>
        <w:ind w:left="567" w:hanging="567"/>
        <w:jc w:val="both"/>
        <w:rPr>
          <w:rFonts w:ascii="Times New Roman" w:cs="Times New Roman" w:eastAsia="Times New Roman" w:hAnsi="Times New Roman"/>
          <w:color w:val="000000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  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0"/>
          <w:szCs w:val="20"/>
          <w:rtl w:val="0"/>
        </w:rPr>
        <w:t xml:space="preserve">z akcji na okaziciela przypada 26.544.910 głosów</w:t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line="360" w:lineRule="auto"/>
        <w:ind w:left="284" w:firstLine="0"/>
        <w:rPr>
          <w:rFonts w:ascii="Times New Roman" w:cs="Times New Roman" w:eastAsia="Times New Roman" w:hAnsi="Times New Roman"/>
          <w:b w:val="1"/>
          <w:bCs w:val="1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vertAlign w:val="baseline"/>
      </w:rPr>
    </w:lvl>
    <w:lvl w:ilvl="1">
      <w:start w:val="0"/>
      <w:numFmt w:val="decimal"/>
      <w:lvlText w:val=""/>
      <w:lvlJc w:val="left"/>
      <w:pPr>
        <w:ind w:left="0" w:firstLine="0"/>
      </w:pPr>
      <w:rPr/>
    </w:lvl>
    <w:lvl w:ilvl="2">
      <w:start w:val="0"/>
      <w:numFmt w:val="decimal"/>
      <w:lvlText w:val=""/>
      <w:lvlJc w:val="left"/>
      <w:pPr>
        <w:ind w:left="0" w:firstLine="0"/>
      </w:pPr>
      <w:rPr/>
    </w:lvl>
    <w:lvl w:ilvl="3">
      <w:start w:val="0"/>
      <w:numFmt w:val="decimal"/>
      <w:lvlText w:val=""/>
      <w:lvlJc w:val="left"/>
      <w:pPr>
        <w:ind w:left="0" w:firstLine="0"/>
      </w:pPr>
      <w:rPr/>
    </w:lvl>
    <w:lvl w:ilvl="4">
      <w:start w:val="0"/>
      <w:numFmt w:val="decimal"/>
      <w:lvlText w:val=""/>
      <w:lvlJc w:val="left"/>
      <w:pPr>
        <w:ind w:left="0" w:firstLine="0"/>
      </w:pPr>
      <w:rPr/>
    </w:lvl>
    <w:lvl w:ilvl="5">
      <w:start w:val="0"/>
      <w:numFmt w:val="decimal"/>
      <w:lvlText w:val=""/>
      <w:lvlJc w:val="left"/>
      <w:pPr>
        <w:ind w:left="0" w:firstLine="0"/>
      </w:pPr>
      <w:rPr/>
    </w:lvl>
    <w:lvl w:ilvl="6">
      <w:start w:val="0"/>
      <w:numFmt w:val="decimal"/>
      <w:lvlText w:val=""/>
      <w:lvlJc w:val="left"/>
      <w:pPr>
        <w:ind w:left="0" w:firstLine="0"/>
      </w:pPr>
      <w:rPr/>
    </w:lvl>
    <w:lvl w:ilvl="7">
      <w:start w:val="0"/>
      <w:numFmt w:val="decimal"/>
      <w:lvlText w:val=""/>
      <w:lvlJc w:val="left"/>
      <w:pPr>
        <w:ind w:left="0" w:firstLine="0"/>
      </w:pPr>
      <w:rPr/>
    </w:lvl>
    <w:lvl w:ilvl="8">
      <w:start w:val="0"/>
      <w:numFmt w:val="decimal"/>
      <w:lvlText w:val=""/>
      <w:lvlJc w:val="left"/>
      <w:pPr>
        <w:ind w:left="0" w:firstLine="0"/>
      </w:pPr>
      <w:rPr/>
    </w:lvl>
  </w:abstractNum>
  <w:abstractNum w:abstractNumId="2">
    <w:lvl w:ilvl="0">
      <w:start w:val="1"/>
      <w:numFmt w:val="decimal"/>
      <w:lvlText w:val="%1)"/>
      <w:lvlJc w:val="left"/>
      <w:pPr>
        <w:ind w:left="1448" w:hanging="360"/>
      </w:pPr>
      <w:rPr/>
    </w:lvl>
    <w:lvl w:ilvl="1">
      <w:start w:val="1"/>
      <w:numFmt w:val="lowerLetter"/>
      <w:lvlText w:val="%2."/>
      <w:lvlJc w:val="left"/>
      <w:pPr>
        <w:ind w:left="2168" w:hanging="360"/>
      </w:pPr>
      <w:rPr/>
    </w:lvl>
    <w:lvl w:ilvl="2">
      <w:start w:val="1"/>
      <w:numFmt w:val="lowerRoman"/>
      <w:lvlText w:val="%3."/>
      <w:lvlJc w:val="right"/>
      <w:pPr>
        <w:ind w:left="2888" w:hanging="180"/>
      </w:pPr>
      <w:rPr/>
    </w:lvl>
    <w:lvl w:ilvl="3">
      <w:start w:val="1"/>
      <w:numFmt w:val="decimal"/>
      <w:lvlText w:val="%4."/>
      <w:lvlJc w:val="left"/>
      <w:pPr>
        <w:ind w:left="3608" w:hanging="360"/>
      </w:pPr>
      <w:rPr/>
    </w:lvl>
    <w:lvl w:ilvl="4">
      <w:start w:val="1"/>
      <w:numFmt w:val="lowerLetter"/>
      <w:lvlText w:val="%5."/>
      <w:lvlJc w:val="left"/>
      <w:pPr>
        <w:ind w:left="4328" w:hanging="360"/>
      </w:pPr>
      <w:rPr/>
    </w:lvl>
    <w:lvl w:ilvl="5">
      <w:start w:val="1"/>
      <w:numFmt w:val="lowerRoman"/>
      <w:lvlText w:val="%6."/>
      <w:lvlJc w:val="right"/>
      <w:pPr>
        <w:ind w:left="5048" w:hanging="180"/>
      </w:pPr>
      <w:rPr/>
    </w:lvl>
    <w:lvl w:ilvl="6">
      <w:start w:val="1"/>
      <w:numFmt w:val="decimal"/>
      <w:lvlText w:val="%7."/>
      <w:lvlJc w:val="left"/>
      <w:pPr>
        <w:ind w:left="5768" w:hanging="360"/>
      </w:pPr>
      <w:rPr/>
    </w:lvl>
    <w:lvl w:ilvl="7">
      <w:start w:val="1"/>
      <w:numFmt w:val="lowerLetter"/>
      <w:lvlText w:val="%8."/>
      <w:lvlJc w:val="left"/>
      <w:pPr>
        <w:ind w:left="6488" w:hanging="360"/>
      </w:pPr>
      <w:rPr/>
    </w:lvl>
    <w:lvl w:ilvl="8">
      <w:start w:val="1"/>
      <w:numFmt w:val="lowerRoman"/>
      <w:lvlText w:val="%9."/>
      <w:lvlJc w:val="right"/>
      <w:pPr>
        <w:ind w:left="7208" w:hanging="18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l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59" w:lineRule="auto"/>
      <w:ind w:left="0" w:right="0" w:firstLine="0"/>
      <w:jc w:val="left"/>
    </w:pPr>
    <w:rPr>
      <w:rFonts w:ascii="Georgia" w:cs="Georgia" w:eastAsia="Georgia" w:hAnsi="Georgia"/>
      <w:b w:val="0"/>
      <w:bCs w:val="0"/>
      <w:i w:val="1"/>
      <w:iCs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z1xB+0RE01FR4IyOBjiOnigpOxQ==">CgMxLjAyCGguZ2pkZ3hzOAByITFHekZjQjBUVHZ4WlNHYmNtY005bHpKZW9nbzlUWXVKTw==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